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E0" w:rsidRPr="002979E0" w:rsidRDefault="00E5590F" w:rsidP="002979E0">
      <w:pPr>
        <w:rPr>
          <w:b/>
          <w:bCs/>
          <w:sz w:val="28"/>
          <w:szCs w:val="28"/>
        </w:rPr>
      </w:pPr>
      <w:r>
        <w:rPr>
          <w:b/>
          <w:bCs/>
          <w:sz w:val="28"/>
          <w:szCs w:val="28"/>
        </w:rPr>
        <w:t>Brøndby</w:t>
      </w:r>
      <w:r w:rsidR="002979E0" w:rsidRPr="002979E0">
        <w:rPr>
          <w:b/>
          <w:bCs/>
          <w:sz w:val="28"/>
          <w:szCs w:val="28"/>
        </w:rPr>
        <w:t xml:space="preserve"> Kommunes Handicappolitik </w:t>
      </w:r>
    </w:p>
    <w:p w:rsidR="002979E0" w:rsidRPr="002979E0" w:rsidRDefault="002979E0" w:rsidP="002979E0">
      <w:pPr>
        <w:rPr>
          <w:b/>
          <w:bCs/>
          <w:sz w:val="24"/>
          <w:szCs w:val="24"/>
        </w:rPr>
      </w:pPr>
    </w:p>
    <w:p w:rsidR="002979E0" w:rsidRDefault="002979E0" w:rsidP="002979E0">
      <w:pPr>
        <w:rPr>
          <w:b/>
          <w:bCs/>
        </w:rPr>
      </w:pPr>
      <w:bookmarkStart w:id="0" w:name="_GoBack"/>
      <w:bookmarkEnd w:id="0"/>
    </w:p>
    <w:p w:rsidR="002979E0" w:rsidRPr="002979E0" w:rsidRDefault="002979E0" w:rsidP="002979E0">
      <w:pPr>
        <w:rPr>
          <w:b/>
          <w:bCs/>
          <w:sz w:val="28"/>
          <w:szCs w:val="28"/>
        </w:rPr>
      </w:pPr>
      <w:r w:rsidRPr="002979E0">
        <w:rPr>
          <w:b/>
          <w:bCs/>
          <w:sz w:val="28"/>
          <w:szCs w:val="28"/>
        </w:rPr>
        <w:t xml:space="preserve">Specifikke kommentarer til </w:t>
      </w:r>
      <w:r w:rsidR="00E5590F">
        <w:rPr>
          <w:b/>
          <w:bCs/>
          <w:sz w:val="28"/>
          <w:szCs w:val="28"/>
        </w:rPr>
        <w:t>Brøndby</w:t>
      </w:r>
      <w:r w:rsidRPr="002979E0">
        <w:rPr>
          <w:b/>
          <w:bCs/>
          <w:sz w:val="28"/>
          <w:szCs w:val="28"/>
        </w:rPr>
        <w:t xml:space="preserve"> Kommunes Handicappolitik</w:t>
      </w:r>
    </w:p>
    <w:p w:rsidR="00E5590F" w:rsidRPr="00E5590F" w:rsidRDefault="00E5590F" w:rsidP="00E5590F">
      <w:pPr>
        <w:rPr>
          <w:sz w:val="24"/>
          <w:szCs w:val="24"/>
        </w:rPr>
      </w:pPr>
      <w:r w:rsidRPr="00E5590F">
        <w:rPr>
          <w:sz w:val="24"/>
          <w:szCs w:val="24"/>
        </w:rPr>
        <w:t>Handicappolitikken hviler på Handicapkonventionen og de fire handicappolitiske principper, men henviser ikke til FN’s standardregler.</w:t>
      </w:r>
    </w:p>
    <w:p w:rsidR="00E5590F" w:rsidRPr="00E5590F" w:rsidRDefault="00E5590F" w:rsidP="00E5590F">
      <w:pPr>
        <w:rPr>
          <w:sz w:val="24"/>
          <w:szCs w:val="24"/>
        </w:rPr>
      </w:pPr>
    </w:p>
    <w:p w:rsidR="00E5590F" w:rsidRPr="00E5590F" w:rsidRDefault="00E5590F" w:rsidP="00E5590F">
      <w:pPr>
        <w:rPr>
          <w:sz w:val="24"/>
          <w:szCs w:val="24"/>
        </w:rPr>
      </w:pPr>
      <w:r w:rsidRPr="00E5590F">
        <w:rPr>
          <w:sz w:val="24"/>
          <w:szCs w:val="24"/>
        </w:rPr>
        <w:t>Politikken er præcis om inddragelse af/samarbejde med handicaporganisationerne og den er tydelig om, at politikken er relevant i hele kommunen og de ansattes forpligtelse til at arbejde med den.</w:t>
      </w:r>
    </w:p>
    <w:p w:rsidR="00E5590F" w:rsidRPr="00E5590F" w:rsidRDefault="00E5590F" w:rsidP="00E5590F">
      <w:pPr>
        <w:rPr>
          <w:sz w:val="24"/>
          <w:szCs w:val="24"/>
        </w:rPr>
      </w:pPr>
    </w:p>
    <w:p w:rsidR="00E5590F" w:rsidRPr="00E5590F" w:rsidRDefault="00E5590F" w:rsidP="00E5590F">
      <w:pPr>
        <w:rPr>
          <w:sz w:val="24"/>
          <w:szCs w:val="24"/>
        </w:rPr>
      </w:pPr>
      <w:r w:rsidRPr="00E5590F">
        <w:rPr>
          <w:sz w:val="24"/>
          <w:szCs w:val="24"/>
        </w:rPr>
        <w:t>Politikken peger på udvalgte prioriterede områder, og gør rede for, at disse er udvalgt i samarbejde med organisationer og borgere.</w:t>
      </w:r>
    </w:p>
    <w:p w:rsidR="00E5590F" w:rsidRPr="00E5590F" w:rsidRDefault="00E5590F" w:rsidP="00E5590F">
      <w:pPr>
        <w:rPr>
          <w:sz w:val="24"/>
          <w:szCs w:val="24"/>
          <w:lang w:eastAsia="da-DK"/>
        </w:rPr>
      </w:pPr>
    </w:p>
    <w:p w:rsidR="00E5590F" w:rsidRPr="00E5590F" w:rsidRDefault="00E5590F" w:rsidP="00E5590F">
      <w:pPr>
        <w:rPr>
          <w:sz w:val="24"/>
          <w:szCs w:val="24"/>
        </w:rPr>
      </w:pPr>
      <w:r w:rsidRPr="00E5590F">
        <w:rPr>
          <w:sz w:val="24"/>
          <w:szCs w:val="24"/>
        </w:rPr>
        <w:t xml:space="preserve">Det er vigtigt og positivt, at tilgængelighed er omfattende beskrevet og at tilgængelighed til natur og byrum er medtaget. </w:t>
      </w:r>
    </w:p>
    <w:p w:rsidR="00E5590F" w:rsidRPr="00E5590F" w:rsidRDefault="00E5590F" w:rsidP="00E5590F">
      <w:pPr>
        <w:rPr>
          <w:sz w:val="24"/>
          <w:szCs w:val="24"/>
          <w:lang w:eastAsia="da-DK"/>
        </w:rPr>
      </w:pPr>
    </w:p>
    <w:p w:rsidR="00E5590F" w:rsidRPr="00E5590F" w:rsidRDefault="00E5590F" w:rsidP="00E5590F">
      <w:pPr>
        <w:rPr>
          <w:sz w:val="24"/>
          <w:szCs w:val="24"/>
          <w:lang w:eastAsia="da-DK"/>
        </w:rPr>
      </w:pPr>
      <w:r w:rsidRPr="00E5590F">
        <w:rPr>
          <w:sz w:val="24"/>
          <w:szCs w:val="24"/>
          <w:lang w:eastAsia="da-DK"/>
        </w:rPr>
        <w:t>DH har ingen reservationer over for velfærdsteknologi, der gør den enkelte mere selvstændig. DH-afdelingen må til stadighed vurdere, om velfærdsteknologien tjener dette formål.</w:t>
      </w:r>
    </w:p>
    <w:p w:rsidR="00E5590F" w:rsidRPr="00E5590F" w:rsidRDefault="00E5590F" w:rsidP="00E5590F">
      <w:pPr>
        <w:rPr>
          <w:sz w:val="24"/>
          <w:szCs w:val="24"/>
          <w:lang w:eastAsia="da-DK"/>
        </w:rPr>
      </w:pPr>
    </w:p>
    <w:p w:rsidR="00E5590F" w:rsidRPr="00E5590F" w:rsidRDefault="008870D9" w:rsidP="00E5590F">
      <w:pPr>
        <w:rPr>
          <w:sz w:val="24"/>
          <w:szCs w:val="24"/>
          <w:lang w:eastAsia="da-DK"/>
        </w:rPr>
      </w:pPr>
      <w:r>
        <w:rPr>
          <w:sz w:val="24"/>
          <w:szCs w:val="24"/>
          <w:lang w:eastAsia="da-DK"/>
        </w:rPr>
        <w:t>D</w:t>
      </w:r>
      <w:r w:rsidR="00E5590F" w:rsidRPr="00E5590F">
        <w:rPr>
          <w:sz w:val="24"/>
          <w:szCs w:val="24"/>
          <w:lang w:eastAsia="da-DK"/>
        </w:rPr>
        <w:t xml:space="preserve">et </w:t>
      </w:r>
      <w:r>
        <w:rPr>
          <w:sz w:val="24"/>
          <w:szCs w:val="24"/>
          <w:lang w:eastAsia="da-DK"/>
        </w:rPr>
        <w:t xml:space="preserve">har pt. ikke været </w:t>
      </w:r>
      <w:r w:rsidR="00E5590F" w:rsidRPr="00E5590F">
        <w:rPr>
          <w:sz w:val="24"/>
          <w:szCs w:val="24"/>
          <w:lang w:eastAsia="da-DK"/>
        </w:rPr>
        <w:t xml:space="preserve">muligt at vurdere, om der bag den positive beskrivelse af </w:t>
      </w:r>
      <w:proofErr w:type="spellStart"/>
      <w:r w:rsidR="00E5590F" w:rsidRPr="00E5590F">
        <w:rPr>
          <w:sz w:val="24"/>
          <w:szCs w:val="24"/>
          <w:lang w:eastAsia="da-DK"/>
        </w:rPr>
        <w:t>Lionslund</w:t>
      </w:r>
      <w:proofErr w:type="spellEnd"/>
      <w:r w:rsidR="00E5590F" w:rsidRPr="00E5590F">
        <w:rPr>
          <w:sz w:val="24"/>
          <w:szCs w:val="24"/>
          <w:lang w:eastAsia="da-DK"/>
        </w:rPr>
        <w:t xml:space="preserve"> ligger et nyt institutionsbyggeri. Det er vigtigt, at DH-afdelingen er opmærksom på problematikken omkring nyt institutionsbyggeri og arbejder for at forhindre dette. Hvorimod der selvfølgelig er behov for at renovere og nybygge, således at der kommer flere handicapegnede boliger og dermed bedre valgmuligheder.</w:t>
      </w:r>
    </w:p>
    <w:p w:rsidR="00E5590F" w:rsidRPr="00E5590F" w:rsidRDefault="00E5590F" w:rsidP="00E5590F">
      <w:pPr>
        <w:rPr>
          <w:sz w:val="24"/>
          <w:szCs w:val="24"/>
          <w:lang w:eastAsia="da-DK"/>
        </w:rPr>
      </w:pPr>
    </w:p>
    <w:p w:rsidR="00E5590F" w:rsidRPr="00E5590F" w:rsidRDefault="00E5590F" w:rsidP="00E5590F">
      <w:pPr>
        <w:rPr>
          <w:sz w:val="24"/>
          <w:szCs w:val="24"/>
          <w:lang w:eastAsia="da-DK"/>
        </w:rPr>
      </w:pPr>
      <w:r w:rsidRPr="00E5590F">
        <w:rPr>
          <w:sz w:val="24"/>
          <w:szCs w:val="24"/>
          <w:lang w:eastAsia="da-DK"/>
        </w:rPr>
        <w:t>I forhold til beskrivelsen af inklusion så bør formuleringerne justeres i kommunens næste handicappolitik. DH-tilgangen er, at alle er inkluderede. Det gælder uanset alder, køn, handicap eller noget andet personligt kendetegn. Det er tilbud og omgivelser, der skal tilpasse sig individerne. Børn med handicap er ikke inkluderet i det almindelige. Afsnittet reflekterer i øvrigt ikke børns ret til at blive inddraget og er dermed ikke gennemført i sin anerkendelse af Handicapkonventionens (og Børnekonventionens) principper i de konkrete afsnit.</w:t>
      </w:r>
    </w:p>
    <w:p w:rsidR="00E5590F" w:rsidRPr="00E5590F" w:rsidRDefault="00E5590F" w:rsidP="00E5590F">
      <w:pPr>
        <w:rPr>
          <w:sz w:val="24"/>
          <w:szCs w:val="24"/>
          <w:lang w:eastAsia="da-DK"/>
        </w:rPr>
      </w:pPr>
    </w:p>
    <w:p w:rsidR="00E5590F" w:rsidRPr="00E5590F" w:rsidRDefault="00E5590F" w:rsidP="00E5590F">
      <w:pPr>
        <w:rPr>
          <w:sz w:val="24"/>
          <w:szCs w:val="24"/>
          <w:lang w:eastAsia="da-DK"/>
        </w:rPr>
      </w:pPr>
      <w:r w:rsidRPr="00E5590F">
        <w:rPr>
          <w:sz w:val="24"/>
          <w:szCs w:val="24"/>
          <w:lang w:eastAsia="da-DK"/>
        </w:rPr>
        <w:t>Meget fint og informativt afsnit om handicaprådets opgave og arbejdsmåde.</w:t>
      </w:r>
    </w:p>
    <w:p w:rsidR="00E5590F" w:rsidRPr="00E5590F" w:rsidRDefault="00E5590F" w:rsidP="00E5590F">
      <w:pPr>
        <w:rPr>
          <w:sz w:val="24"/>
          <w:szCs w:val="24"/>
        </w:rPr>
      </w:pPr>
    </w:p>
    <w:p w:rsidR="002979E0" w:rsidRPr="00186BE8" w:rsidRDefault="002979E0">
      <w:pPr>
        <w:rPr>
          <w:sz w:val="24"/>
          <w:szCs w:val="24"/>
        </w:rPr>
      </w:pPr>
    </w:p>
    <w:sectPr w:rsidR="002979E0" w:rsidRPr="00186BE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E0"/>
    <w:rsid w:val="00037BDD"/>
    <w:rsid w:val="00186BE8"/>
    <w:rsid w:val="002979E0"/>
    <w:rsid w:val="007545C2"/>
    <w:rsid w:val="008870D9"/>
    <w:rsid w:val="00E5590F"/>
    <w:rsid w:val="00E76005"/>
    <w:rsid w:val="00F14F9D"/>
    <w:rsid w:val="00F655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E0"/>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979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E0"/>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97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8785">
      <w:bodyDiv w:val="1"/>
      <w:marLeft w:val="0"/>
      <w:marRight w:val="0"/>
      <w:marTop w:val="0"/>
      <w:marBottom w:val="0"/>
      <w:divBdr>
        <w:top w:val="none" w:sz="0" w:space="0" w:color="auto"/>
        <w:left w:val="none" w:sz="0" w:space="0" w:color="auto"/>
        <w:bottom w:val="none" w:sz="0" w:space="0" w:color="auto"/>
        <w:right w:val="none" w:sz="0" w:space="0" w:color="auto"/>
      </w:divBdr>
    </w:div>
    <w:div w:id="758333187">
      <w:bodyDiv w:val="1"/>
      <w:marLeft w:val="0"/>
      <w:marRight w:val="0"/>
      <w:marTop w:val="0"/>
      <w:marBottom w:val="0"/>
      <w:divBdr>
        <w:top w:val="none" w:sz="0" w:space="0" w:color="auto"/>
        <w:left w:val="none" w:sz="0" w:space="0" w:color="auto"/>
        <w:bottom w:val="none" w:sz="0" w:space="0" w:color="auto"/>
        <w:right w:val="none" w:sz="0" w:space="0" w:color="auto"/>
      </w:divBdr>
    </w:div>
    <w:div w:id="975913577">
      <w:bodyDiv w:val="1"/>
      <w:marLeft w:val="0"/>
      <w:marRight w:val="0"/>
      <w:marTop w:val="0"/>
      <w:marBottom w:val="0"/>
      <w:divBdr>
        <w:top w:val="none" w:sz="0" w:space="0" w:color="auto"/>
        <w:left w:val="none" w:sz="0" w:space="0" w:color="auto"/>
        <w:bottom w:val="none" w:sz="0" w:space="0" w:color="auto"/>
        <w:right w:val="none" w:sz="0" w:space="0" w:color="auto"/>
      </w:divBdr>
    </w:div>
    <w:div w:id="13853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Gunnarsen</dc:creator>
  <cp:lastModifiedBy>Charlotte Gunnarsen</cp:lastModifiedBy>
  <cp:revision>2</cp:revision>
  <dcterms:created xsi:type="dcterms:W3CDTF">2016-12-06T09:10:00Z</dcterms:created>
  <dcterms:modified xsi:type="dcterms:W3CDTF">2016-12-06T09:10:00Z</dcterms:modified>
</cp:coreProperties>
</file>